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D43" w:rsidRDefault="00515D4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Police service 'hated' by government, officers told</w:t>
      </w: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BBC News  -  May 17, 2011</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senior police official [John Giblin, Sergeants Committee Chairman] has told officers that government ministers "hate the police service"   . . .   [and that] the government wanted to "destroy" the service "in order to rebuild it again, but in their image". He was speaking at the Police Federation of England and Wales conference in Bournemouth.   . . .   During his speech Mr Giblin   . . .   also said that policing was entering "a period of doom, gloom and despondency".       . . .</w:t>
      </w: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Giblin said: "   . . .   Don't be fooled by this insincere, nihilist, smoke and mirrors, slash and burn policy, for it is   . . .   in greater part ideology."    . . .</w:t>
      </w:r>
    </w:p>
    <w:p w:rsidR="00515D43" w:rsidRDefault="00515D43">
      <w:pPr>
        <w:widowControl w:val="0"/>
        <w:autoSpaceDE w:val="0"/>
        <w:autoSpaceDN w:val="0"/>
        <w:adjustRightInd w:val="0"/>
        <w:spacing w:after="0" w:line="240" w:lineRule="auto"/>
        <w:rPr>
          <w:rFonts w:ascii="Times New Roman" w:hAnsi="Times New Roman" w:cs="Times New Roman"/>
          <w:sz w:val="12"/>
          <w:szCs w:val="12"/>
        </w:rPr>
      </w:pPr>
    </w:p>
    <w:p w:rsidR="00515D43" w:rsidRDefault="00515D4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http://www.bbc.co.uk/news/uk-13425351</w:t>
      </w:r>
    </w:p>
    <w:p w:rsidR="00515D43" w:rsidRDefault="00515D43">
      <w:pPr>
        <w:widowControl w:val="0"/>
        <w:autoSpaceDE w:val="0"/>
        <w:autoSpaceDN w:val="0"/>
        <w:adjustRightInd w:val="0"/>
        <w:spacing w:after="0" w:line="240" w:lineRule="auto"/>
        <w:rPr>
          <w:rFonts w:ascii="Times New Roman" w:hAnsi="Times New Roman" w:cs="Times New Roman"/>
          <w:sz w:val="20"/>
          <w:szCs w:val="20"/>
        </w:rPr>
      </w:pPr>
    </w:p>
    <w:p w:rsidR="00515D43" w:rsidRDefault="00515D43">
      <w:pPr>
        <w:widowControl w:val="0"/>
        <w:autoSpaceDE w:val="0"/>
        <w:autoSpaceDN w:val="0"/>
        <w:adjustRightInd w:val="0"/>
        <w:spacing w:after="0" w:line="240" w:lineRule="auto"/>
        <w:rPr>
          <w:rFonts w:ascii="Times New Roman" w:hAnsi="Times New Roman" w:cs="Times New Roman"/>
          <w:sz w:val="20"/>
          <w:szCs w:val="20"/>
        </w:rPr>
      </w:pPr>
    </w:p>
    <w:p w:rsidR="00515D43" w:rsidRDefault="00515D43">
      <w:pPr>
        <w:widowControl w:val="0"/>
        <w:autoSpaceDE w:val="0"/>
        <w:autoSpaceDN w:val="0"/>
        <w:adjustRightInd w:val="0"/>
        <w:spacing w:after="0" w:line="240" w:lineRule="auto"/>
        <w:rPr>
          <w:rFonts w:ascii="Times New Roman" w:hAnsi="Times New Roman" w:cs="Times New Roman"/>
          <w:sz w:val="20"/>
          <w:szCs w:val="20"/>
        </w:rPr>
      </w:pPr>
    </w:p>
    <w:p w:rsidR="00515D43" w:rsidRDefault="00515D43">
      <w:pPr>
        <w:widowControl w:val="0"/>
        <w:autoSpaceDE w:val="0"/>
        <w:autoSpaceDN w:val="0"/>
        <w:adjustRightInd w:val="0"/>
        <w:spacing w:after="0" w:line="240" w:lineRule="auto"/>
        <w:rPr>
          <w:rFonts w:ascii="Times New Roman" w:hAnsi="Times New Roman" w:cs="Times New Roman"/>
          <w:sz w:val="20"/>
          <w:szCs w:val="20"/>
        </w:rPr>
      </w:pPr>
    </w:p>
    <w:p w:rsidR="00515D43" w:rsidRDefault="00515D43">
      <w:pPr>
        <w:widowControl w:val="0"/>
        <w:autoSpaceDE w:val="0"/>
        <w:autoSpaceDN w:val="0"/>
        <w:adjustRightInd w:val="0"/>
        <w:spacing w:after="0" w:line="240" w:lineRule="auto"/>
        <w:rPr>
          <w:rFonts w:ascii="Times New Roman" w:hAnsi="Times New Roman" w:cs="Times New Roman"/>
          <w:sz w:val="20"/>
          <w:szCs w:val="20"/>
        </w:rPr>
      </w:pPr>
    </w:p>
    <w:p w:rsidR="00515D43" w:rsidRDefault="00515D43">
      <w:pPr>
        <w:widowControl w:val="0"/>
        <w:autoSpaceDE w:val="0"/>
        <w:autoSpaceDN w:val="0"/>
        <w:adjustRightInd w:val="0"/>
        <w:spacing w:after="0" w:line="240" w:lineRule="auto"/>
        <w:rPr>
          <w:rFonts w:ascii="Times New Roman" w:hAnsi="Times New Roman" w:cs="Times New Roman"/>
          <w:sz w:val="24"/>
          <w:szCs w:val="24"/>
        </w:rPr>
      </w:pPr>
    </w:p>
    <w:p w:rsidR="00515D43" w:rsidRDefault="00515D4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'Fragmented media, fractured states: do media development interventions ignore theories of state development?'</w:t>
      </w:r>
    </w:p>
    <w:p w:rsidR="00515D43" w:rsidRDefault="00515D4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James Deane</w:t>
      </w:r>
    </w:p>
    <w:p w:rsidR="00515D43" w:rsidRDefault="00515D43">
      <w:pPr>
        <w:widowControl w:val="0"/>
        <w:autoSpaceDE w:val="0"/>
        <w:autoSpaceDN w:val="0"/>
        <w:adjustRightInd w:val="0"/>
        <w:spacing w:after="0" w:line="240" w:lineRule="auto"/>
        <w:rPr>
          <w:rFonts w:ascii="Arial" w:hAnsi="Arial" w:cs="Arial"/>
          <w:sz w:val="12"/>
          <w:szCs w:val="12"/>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Current, accelerating trends towards greater fragmentation of media and communication channels, including in fragile states, raise further questions of whether media and communication are, as media development proponents claim, an essential source of government accountability and a central pillar of an informed and democratic society or, alternatively, a driver reinforcing fracture points in already deeply fractured states.    . . .</w:t>
      </w: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Recent theories of state development</w:t>
      </w:r>
      <w:r>
        <w:rPr>
          <w:rFonts w:ascii="Arial" w:hAnsi="Arial" w:cs="Arial"/>
          <w:sz w:val="16"/>
          <w:szCs w:val="16"/>
        </w:rPr>
        <w:t xml:space="preserve"> </w:t>
      </w:r>
      <w:r w:rsidRPr="000E5DFE">
        <w:rPr>
          <w:rStyle w:val="FootnoteReference"/>
        </w:rPr>
        <w:footnoteReference w:id="1"/>
      </w:r>
      <w:r>
        <w:rPr>
          <w:rFonts w:ascii="Arial" w:hAnsi="Arial" w:cs="Arial"/>
          <w:sz w:val="20"/>
          <w:szCs w:val="20"/>
        </w:rPr>
        <w:t xml:space="preserve"> have argued that the process of state formation in developing countries differs fundamentally from that in developed countries.    . . . </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conclusions drawn from such analysis suggest that the absence of violence and the existence of political stability essential to the formation of a functioning state depend fundamentally on the existence of “limited access orders”, where political institutions and other instruments of power are held by small numbers of powerful individuals.   . . .</w:t>
      </w: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evolution of the Open Access Orders characteristic of western industrialised</w:t>
      </w: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countries is in the context of human historical development, something of an anomaly. External efforts to open up and democratise societies, it is argued, can potentially undermine and destabilise the delicate power dynamics necessary for the emergence of stable and sustainable states and create non rational power relationships, a view backed up by other critics of efforts to assist or promote democracy</w:t>
      </w:r>
      <w:r>
        <w:rPr>
          <w:rFonts w:ascii="Arial" w:hAnsi="Arial" w:cs="Arial"/>
          <w:sz w:val="16"/>
          <w:szCs w:val="16"/>
        </w:rPr>
        <w:t xml:space="preserve"> </w:t>
      </w:r>
      <w:r w:rsidRPr="000E5DFE">
        <w:rPr>
          <w:rStyle w:val="FootnoteReference"/>
        </w:rPr>
        <w:footnoteReference w:id="2"/>
      </w:r>
      <w:r>
        <w:rPr>
          <w:rFonts w:ascii="Arial" w:hAnsi="Arial" w:cs="Arial"/>
          <w:sz w:val="20"/>
          <w:szCs w:val="20"/>
        </w:rPr>
        <w:t>.</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also echo deep seated policy debates   . . .   between skeptics of democracy assistance fearful that it encourages both interstate and civil tension and violence, and those who argue that (while distancing themselves from recent US government policy) that democratic renewal is the most effective path from politically unsustainable authoritarianism.</w:t>
      </w:r>
      <w:r>
        <w:rPr>
          <w:rFonts w:ascii="Arial" w:hAnsi="Arial" w:cs="Arial"/>
          <w:sz w:val="16"/>
          <w:szCs w:val="16"/>
        </w:rPr>
        <w:t xml:space="preserve"> </w:t>
      </w:r>
      <w:r w:rsidRPr="000E5DFE">
        <w:rPr>
          <w:rStyle w:val="FootnoteReference"/>
        </w:rPr>
        <w:footnoteReference w:id="3"/>
      </w:r>
      <w:r>
        <w:rPr>
          <w:rFonts w:ascii="Arial" w:hAnsi="Arial" w:cs="Arial"/>
          <w:sz w:val="20"/>
          <w:szCs w:val="20"/>
        </w:rPr>
        <w:t xml:space="preserve">   . . .</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Arguments such as those of North pose a profound challenge to both the theories and practice of democratic development followed by most western donors and powers, they create a special one for those who have urged strong investment in the creation of free and plural media in developing countries as part of democratic support strategies.   . . .</w:t>
      </w: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potential of media and communication to undermine both formal state control and informal client patron relationships has been well documented over many years.    . . .</w:t>
      </w: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1996, in the journal International Security, Professor Jack Snyder of the Institute of War and Peace Studies at Colombia University and his colleague, Karen Ballentine, concluded in a precursor to North’s conclusion, that:</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conventional wisdom among human rights activists holds that a great deal of the ethnic conflict in the world today is caused by propagandistic manipulations of public opinion.   . . .   We argue that promoting unconditional freedom of public debate in newly democratizing societies is, in many circumstances, likely to make the problem worse.</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Historically and today, from the French Revolution to Rwanda, sudden liberalizations of press freedom have been associated with bloody outbursts of popular nationalism. The most dangerous situation is precisely when the government's press monopoly begins to break down.(4) During incipient democratization, when civil society is burgeoning but democratic institutions are not fully entrenched, the state and other elites are forced to engage in public debate in order to compete for mass allies in the struggle for power.(5) Under those circumstances, governments and their opponents often have the motive and the opportunity to play the nationalist card. As a result of their analysis the authors urge “NGOs and other aid donors to reconsider projects to provide ethnic minorities with their own media”.</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2005, the London School of Economics produced an influential report, based on an workshop organised with the Annenberg School of Communication (Putzel 2005). It concluded that </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In situations where the state is fragile   . . .   and where the political process is unstable and de-legitimated, the primary objective of donor assistance should be supporting the formation of a functioning state. In such a scenario, unsophisticated liberalisation of the media can potentially undermine the state building project.    . . .   In the case of fragile states, it may  . . .   be misguided and potentially dangerous to assume that encouraging the creation of free and independent media will automatically strengthen civil society, or help establish a democratic system that will hold governments accountable. This  approach underestimates the complexity of the contexts of fragile states.”   . . .</w:t>
      </w: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recommendations made by those who critique media development frequently focus on legitimising a degree of censorship or control of  media and that, particularly in situations of conflict and state fragility, media that is too rapidly liberalised and allowed too much freedom can undermine stability, foster conflict and, at their most extreme, aid genocide.</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avoid such danger, it is argued, the media should be constrained until the state has become sufficiently stable and the institutions of the state sufficiently strong, to withstand such pressure.</w:t>
      </w:r>
      <w:r>
        <w:rPr>
          <w:rFonts w:ascii="Arial" w:hAnsi="Arial" w:cs="Arial"/>
          <w:sz w:val="16"/>
          <w:szCs w:val="16"/>
        </w:rPr>
        <w:t xml:space="preserve"> </w:t>
      </w:r>
      <w:r w:rsidRPr="000E5DFE">
        <w:rPr>
          <w:rStyle w:val="FootnoteReference"/>
        </w:rPr>
        <w:footnoteReference w:id="4"/>
      </w:r>
      <w:r>
        <w:rPr>
          <w:rFonts w:ascii="Arial" w:hAnsi="Arial" w:cs="Arial"/>
          <w:sz w:val="20"/>
          <w:szCs w:val="20"/>
        </w:rPr>
        <w:t xml:space="preserve">   . . .</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References</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Abdi, J and Deane, J (2008), The Kenya 2007 Election and its Aftermath: the role of media and communication, BBC World Service Trust</w:t>
      </w:r>
    </w:p>
    <w:p w:rsidR="00515D43" w:rsidRDefault="00515D43">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Abdi, J and Deane J (2008), The 2007 General Election in Kenya and Its Aftermath: The Role of Local Language Media, International Journal of Press and Politics, Vol 13, 319-327</w:t>
      </w:r>
    </w:p>
    <w:p w:rsidR="00515D43" w:rsidRDefault="00515D43">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Allen, T. and N. Stremlau (2005). In Hemer, Oscar and Thomas Tufte (Eds.). Media and Global Change: Rethinking Communication for Development. Nordicom.</w:t>
      </w:r>
    </w:p>
    <w:p w:rsidR="00515D43" w:rsidRDefault="00515D43">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Allen, T. and N. Stremlau (2005) ‘Media Policy, Peace and State Reconstruction’, LSE Crisis States Discussion Paper 8.</w:t>
      </w:r>
    </w:p>
    <w:p w:rsidR="00515D43" w:rsidRDefault="00515D43">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Cammack, Diana (2007), The Logic of African neopatrimonialism, What Role for Donors? ODI </w:t>
      </w:r>
    </w:p>
    <w:p w:rsidR="00515D43" w:rsidRDefault="00515D43">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Carothers, Thomas (January 2007), How Democracies Emerge: the sequencing fallacy, Journal of Democracy, Vol 18 , No. 1</w:t>
      </w:r>
    </w:p>
    <w:p w:rsidR="00515D43" w:rsidRDefault="00515D43">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International Media Support report, (2008) How Far to Go? Kenya’s media caught in the turmoil of a failed election</w:t>
      </w:r>
    </w:p>
    <w:p w:rsidR="00515D43" w:rsidRDefault="00515D43">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Collier, Paul, (2009) Wars, Guns and Votes: Democracy in Dangerous Places, Bodley Head Foreign Affairs (July 2007), Volume 18, Number 3, The Debate on Sequencing</w:t>
      </w:r>
    </w:p>
    <w:p w:rsidR="00515D43" w:rsidRDefault="00515D43">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Frère, Marie-Soleil, (2007), The Media and Conflicts in Central Africa Institut Panos</w:t>
      </w:r>
    </w:p>
    <w:p w:rsidR="00515D43" w:rsidRDefault="00515D43">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Kaldor, M and Price M, Communicative Power and Democracy, Introduction to Global Civil Society Yearbook, 2008</w:t>
      </w:r>
    </w:p>
    <w:p w:rsidR="00515D43" w:rsidRDefault="00515D43">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Khan, M.H., 2005. "Markets, States and Democracy: Patron-Client Networks and the Case for Democracy in Developing Countries". Democratization 12 (5): 705-25. </w:t>
      </w:r>
    </w:p>
    <w:p w:rsidR="00515D43" w:rsidRDefault="00515D43">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North, Douglass C., John Joseph Wallis and Barry R. Weingast, (2009) Violence and Social Orders: A conceptual framework for Interpreting Recorded Human History, Cambridge University Press</w:t>
      </w:r>
    </w:p>
    <w:p w:rsidR="00515D43" w:rsidRDefault="00515D43">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North, Douglass C., John Joseph Wallis and Barry R. Weingast, December 2006. “A Framework for Interpreting Recorded Human History.” NBER working paper w12795</w:t>
      </w:r>
    </w:p>
    <w:p w:rsidR="00515D43" w:rsidRDefault="00515D43">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Putzel J, (2005) Why Templates for Media Development do not work in Crisis States, LSE CSRC</w:t>
      </w:r>
    </w:p>
    <w:p w:rsidR="00515D43" w:rsidRDefault="00515D43">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Snyder J and Ballentine K, (1996) Nationalism and the Marketplace of Ideas, International Security, 21 92)</w:t>
      </w: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18"/>
          <w:szCs w:val="18"/>
        </w:rPr>
        <w:t>Sunstein, Cass, (July 2009) To become an extremist, hang around with people you agree with, Spectator Magazine, UK</w:t>
      </w:r>
      <w:r>
        <w:rPr>
          <w:rFonts w:ascii="Arial" w:hAnsi="Arial" w:cs="Arial"/>
          <w:sz w:val="20"/>
          <w:szCs w:val="20"/>
        </w:rPr>
        <w:t xml:space="preserve"> </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w:t>
      </w:r>
      <w:r>
        <w:rPr>
          <w:rFonts w:ascii="Times New Roman" w:hAnsi="Times New Roman" w:cs="Times New Roman"/>
          <w:sz w:val="20"/>
          <w:szCs w:val="20"/>
        </w:rPr>
        <w:t>http://www2.lse.ac.uk/internationalDevelopment/research/crisisStates/download/seminars/James%20Deane%20Jan13.pdf</w:t>
      </w:r>
    </w:p>
    <w:p w:rsidR="00515D43" w:rsidRDefault="00515D43">
      <w:pPr>
        <w:widowControl w:val="0"/>
        <w:autoSpaceDE w:val="0"/>
        <w:autoSpaceDN w:val="0"/>
        <w:adjustRightInd w:val="0"/>
        <w:spacing w:after="0" w:line="240" w:lineRule="auto"/>
        <w:rPr>
          <w:rFonts w:ascii="Arial" w:hAnsi="Arial" w:cs="Arial"/>
          <w:sz w:val="8"/>
          <w:szCs w:val="8"/>
        </w:rPr>
      </w:pPr>
    </w:p>
    <w:p w:rsidR="00515D43" w:rsidRDefault="00515D43">
      <w:pPr>
        <w:widowControl w:val="0"/>
        <w:autoSpaceDE w:val="0"/>
        <w:autoSpaceDN w:val="0"/>
        <w:adjustRightInd w:val="0"/>
        <w:spacing w:after="0" w:line="240" w:lineRule="auto"/>
        <w:rPr>
          <w:rFonts w:ascii="Arial" w:hAnsi="Arial" w:cs="Arial"/>
          <w:sz w:val="12"/>
          <w:szCs w:val="12"/>
        </w:rPr>
      </w:pPr>
    </w:p>
    <w:p w:rsidR="00515D43" w:rsidRDefault="00515D43">
      <w:pPr>
        <w:widowControl w:val="0"/>
        <w:autoSpaceDE w:val="0"/>
        <w:autoSpaceDN w:val="0"/>
        <w:adjustRightInd w:val="0"/>
        <w:spacing w:after="0" w:line="240" w:lineRule="auto"/>
        <w:rPr>
          <w:rFonts w:ascii="Arial" w:hAnsi="Arial" w:cs="Arial"/>
          <w:sz w:val="12"/>
          <w:szCs w:val="12"/>
        </w:rPr>
      </w:pPr>
    </w:p>
    <w:p w:rsidR="00515D43" w:rsidRDefault="00515D43">
      <w:pPr>
        <w:widowControl w:val="0"/>
        <w:autoSpaceDE w:val="0"/>
        <w:autoSpaceDN w:val="0"/>
        <w:adjustRightInd w:val="0"/>
        <w:spacing w:after="0" w:line="240" w:lineRule="auto"/>
        <w:rPr>
          <w:rFonts w:ascii="Arial" w:hAnsi="Arial" w:cs="Arial"/>
          <w:sz w:val="12"/>
          <w:szCs w:val="12"/>
        </w:rPr>
      </w:pPr>
    </w:p>
    <w:p w:rsidR="00515D43" w:rsidRDefault="00515D43">
      <w:pPr>
        <w:widowControl w:val="0"/>
        <w:autoSpaceDE w:val="0"/>
        <w:autoSpaceDN w:val="0"/>
        <w:adjustRightInd w:val="0"/>
        <w:spacing w:after="0" w:line="240" w:lineRule="auto"/>
        <w:rPr>
          <w:rFonts w:ascii="Arial" w:hAnsi="Arial" w:cs="Arial"/>
          <w:sz w:val="12"/>
          <w:szCs w:val="12"/>
        </w:rPr>
      </w:pPr>
    </w:p>
    <w:p w:rsidR="00515D43" w:rsidRDefault="00515D43">
      <w:pPr>
        <w:widowControl w:val="0"/>
        <w:autoSpaceDE w:val="0"/>
        <w:autoSpaceDN w:val="0"/>
        <w:adjustRightInd w:val="0"/>
        <w:spacing w:after="0" w:line="240" w:lineRule="auto"/>
        <w:rPr>
          <w:rFonts w:ascii="Arial" w:hAnsi="Arial" w:cs="Arial"/>
          <w:sz w:val="12"/>
          <w:szCs w:val="12"/>
        </w:rPr>
      </w:pPr>
    </w:p>
    <w:p w:rsidR="00515D43" w:rsidRDefault="00515D43">
      <w:pPr>
        <w:widowControl w:val="0"/>
        <w:autoSpaceDE w:val="0"/>
        <w:autoSpaceDN w:val="0"/>
        <w:adjustRightInd w:val="0"/>
        <w:spacing w:after="0" w:line="240" w:lineRule="auto"/>
        <w:rPr>
          <w:rFonts w:ascii="Arial" w:hAnsi="Arial" w:cs="Arial"/>
          <w:sz w:val="12"/>
          <w:szCs w:val="12"/>
        </w:rPr>
      </w:pPr>
    </w:p>
    <w:p w:rsidR="00515D43" w:rsidRDefault="00515D43">
      <w:pPr>
        <w:widowControl w:val="0"/>
        <w:autoSpaceDE w:val="0"/>
        <w:autoSpaceDN w:val="0"/>
        <w:adjustRightInd w:val="0"/>
        <w:spacing w:after="0" w:line="240" w:lineRule="auto"/>
        <w:rPr>
          <w:rFonts w:ascii="Arial" w:hAnsi="Arial" w:cs="Arial"/>
          <w:sz w:val="12"/>
          <w:szCs w:val="12"/>
        </w:rPr>
      </w:pPr>
    </w:p>
    <w:p w:rsidR="00515D43" w:rsidRDefault="00515D43">
      <w:pPr>
        <w:widowControl w:val="0"/>
        <w:autoSpaceDE w:val="0"/>
        <w:autoSpaceDN w:val="0"/>
        <w:adjustRightInd w:val="0"/>
        <w:spacing w:after="0" w:line="240" w:lineRule="auto"/>
        <w:rPr>
          <w:rFonts w:ascii="Arial" w:hAnsi="Arial" w:cs="Arial"/>
          <w:sz w:val="12"/>
          <w:szCs w:val="12"/>
        </w:rPr>
      </w:pPr>
    </w:p>
    <w:p w:rsidR="00515D43" w:rsidRDefault="00515D43">
      <w:pPr>
        <w:widowControl w:val="0"/>
        <w:autoSpaceDE w:val="0"/>
        <w:autoSpaceDN w:val="0"/>
        <w:adjustRightInd w:val="0"/>
        <w:spacing w:after="0" w:line="240" w:lineRule="auto"/>
        <w:rPr>
          <w:rFonts w:ascii="Arial" w:hAnsi="Arial" w:cs="Arial"/>
          <w:sz w:val="12"/>
          <w:szCs w:val="12"/>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Risks of Quantification</w:t>
      </w: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William Byers, Professor Mathematics Concordia University, Montreal, Author </w:t>
      </w:r>
      <w:r>
        <w:rPr>
          <w:rFonts w:ascii="Arial" w:hAnsi="Arial" w:cs="Arial"/>
          <w:i/>
          <w:iCs/>
          <w:sz w:val="20"/>
          <w:szCs w:val="20"/>
        </w:rPr>
        <w:t>The Blind Spot: Science and the Crisis of Uncertainty and How Mathematicians Think</w:t>
      </w: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Harvard Business Review    -    May 18th, 2011</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are attached to our analytic and computational tools and have become blind to their limitations.</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Consider the following four issues:</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Statistical models are all based on the notion of randomness, but no one can really understand randomness. Many people use the word random without realizing that random means what it says — randomness cannot be predicted or controlled. A model of randomness is no longer true randomness.</w:t>
      </w:r>
      <w:r>
        <w:rPr>
          <w:rFonts w:ascii="Arial" w:hAnsi="Arial" w:cs="Arial"/>
          <w:sz w:val="16"/>
          <w:szCs w:val="16"/>
        </w:rPr>
        <w:t xml:space="preserve"> </w:t>
      </w:r>
      <w:r w:rsidRPr="000E5DFE">
        <w:rPr>
          <w:rStyle w:val="FootnoteReference"/>
        </w:rPr>
        <w:footnoteReference w:id="5"/>
      </w:r>
      <w:r>
        <w:rPr>
          <w:rFonts w:ascii="Arial" w:hAnsi="Arial" w:cs="Arial"/>
          <w:sz w:val="20"/>
          <w:szCs w:val="20"/>
        </w:rPr>
        <w:t xml:space="preserve">   . . .</w:t>
      </w: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need nuclear reactors to solve some of our energy needs and to mitigate global warming. At the same time, nuclear power, as we see from Japan, comes with huge downsides. This same ambiguity is at the heart of most policy and business decisions, but mathematical models have taken out the ambiguity.    . . .</w:t>
      </w: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Models simplify things by ignoring certain aspects of the situation, but we can never be sure which factors should be included and which should be omitted.   . . .</w:t>
      </w: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Anyhow chaotic systems, by definition, cannot be predicted.   . . .</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http://www.ethiopianreview.com/index/20111/407104</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Obama: A fresh start with Europe?</w:t>
      </w: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Stephen Collinson   -   AFP  -  May 19, 2011</w:t>
      </w:r>
    </w:p>
    <w:p w:rsidR="00515D43" w:rsidRDefault="00515D43">
      <w:pPr>
        <w:widowControl w:val="0"/>
        <w:autoSpaceDE w:val="0"/>
        <w:autoSpaceDN w:val="0"/>
        <w:adjustRightInd w:val="0"/>
        <w:spacing w:after="0" w:line="240" w:lineRule="auto"/>
        <w:rPr>
          <w:rFonts w:ascii="Arial" w:hAnsi="Arial" w:cs="Arial"/>
          <w:sz w:val="10"/>
          <w:szCs w:val="1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among Europe's chattering classes regard Obama as "cool" to the old continent despite early delight at his election, which came after years of estrangement from George W. Bush's administration. It is often noted that Obama has few emotional ties to Europe: he was raised in Hawaii and lived as a boy in Indonesia. On two trips to Asia as president, he has exulted in the region's vibrancy.</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Obama's earliest transatlantic forays, he left a trail of hysterical press coverage, alleging various social faux pas and splits on key issues.</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seemed to take little joy in his more recent visits: the barnstorming candidate Europeans loved was replaced by a calculating and sometimes chilly leader, acting on hard-nosed US interests. Hackles were also raised when the new president removed a bust of revered British leader Winston Churchill from the Oval Office -- and again when he decided to skip a major US-Europe summit in May 2010. Europeans were also disappointed that Obama failed to close the Guantanamo Bay prison and made little progress on climate change.</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the United States in the economic mire, Obama had no time, nor political inclination, to swan around the grand tourist sites of old Europe. "The Europeans have learned the hard way that Obama is not a natural 'Europeanist,'" said Jan Techau, director of the Carnegie Endowment for International Peace's Europe Center. "They have gotten used to it, but it is not something they like very much."   . . .</w:t>
      </w: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Europeans have felt that Obama hasn't been as warm and fuzzy, perhaps, as they had hoped for, that maybe he hasn't delivered as much as they sometimes wanted," said Stephen Flanagan of the Center for Strategic and International Studies. "I think there's also a sense in the Obama administration that Europe hasn't delivered and is not moving in a position where it's likely to be able to deliver more."   . . .</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European diplomats in Washington have confided that they are happy with improving ties   . . .   A successful outcome in Libya -- the fall of Moamer Kadhafi -- instead of a feared stalemate would likely validate this new proactive European role.    . . .</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http://ascology.com/news/green360/facts/13027-Obama-fresh-start-with-Europe.html</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12"/>
          <w:szCs w:val="12"/>
        </w:rPr>
      </w:pPr>
    </w:p>
    <w:p w:rsidR="00515D43" w:rsidRDefault="00515D43">
      <w:pPr>
        <w:widowControl w:val="0"/>
        <w:autoSpaceDE w:val="0"/>
        <w:autoSpaceDN w:val="0"/>
        <w:adjustRightInd w:val="0"/>
        <w:spacing w:after="0" w:line="240" w:lineRule="auto"/>
        <w:rPr>
          <w:rFonts w:ascii="Arial" w:hAnsi="Arial" w:cs="Arial"/>
          <w:sz w:val="12"/>
          <w:szCs w:val="12"/>
        </w:rPr>
      </w:pPr>
    </w:p>
    <w:p w:rsidR="00515D43" w:rsidRDefault="00515D43">
      <w:pPr>
        <w:widowControl w:val="0"/>
        <w:autoSpaceDE w:val="0"/>
        <w:autoSpaceDN w:val="0"/>
        <w:adjustRightInd w:val="0"/>
        <w:spacing w:after="0" w:line="240" w:lineRule="auto"/>
        <w:rPr>
          <w:rFonts w:ascii="Arial" w:hAnsi="Arial" w:cs="Arial"/>
          <w:sz w:val="12"/>
          <w:szCs w:val="12"/>
        </w:rPr>
      </w:pPr>
    </w:p>
    <w:p w:rsidR="00515D43" w:rsidRDefault="00515D43">
      <w:pPr>
        <w:widowControl w:val="0"/>
        <w:autoSpaceDE w:val="0"/>
        <w:autoSpaceDN w:val="0"/>
        <w:adjustRightInd w:val="0"/>
        <w:spacing w:after="0" w:line="240" w:lineRule="auto"/>
        <w:rPr>
          <w:rFonts w:ascii="Arial" w:hAnsi="Arial" w:cs="Arial"/>
          <w:sz w:val="12"/>
          <w:szCs w:val="12"/>
        </w:rPr>
      </w:pPr>
    </w:p>
    <w:p w:rsidR="00515D43" w:rsidRDefault="00515D43">
      <w:pPr>
        <w:widowControl w:val="0"/>
        <w:autoSpaceDE w:val="0"/>
        <w:autoSpaceDN w:val="0"/>
        <w:adjustRightInd w:val="0"/>
        <w:spacing w:after="0" w:line="240" w:lineRule="auto"/>
        <w:rPr>
          <w:rFonts w:ascii="Courier New" w:hAnsi="Courier New" w:cs="Courier New"/>
          <w:sz w:val="20"/>
          <w:szCs w:val="20"/>
        </w:rPr>
      </w:pP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_=_ Part 001 of 001 of file Amtrak.zip</w:t>
      </w: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515D43" w:rsidRDefault="00515D43">
      <w:pPr>
        <w:widowControl w:val="0"/>
        <w:autoSpaceDE w:val="0"/>
        <w:autoSpaceDN w:val="0"/>
        <w:adjustRightInd w:val="0"/>
        <w:spacing w:after="0" w:line="240" w:lineRule="auto"/>
        <w:rPr>
          <w:rFonts w:ascii="Courier New" w:hAnsi="Courier New" w:cs="Courier New"/>
          <w:sz w:val="20"/>
          <w:szCs w:val="20"/>
        </w:rPr>
      </w:pP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begin 444 Amtrak.zip</w:t>
      </w: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M4$L#!!0````(`%24LS[/7RGXM0(``+H$```*````06UT&lt;F%K+G1X=%546VO;</w:t>
      </w: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M,!1^7J'_X="7;F#GTM)!^Q8&amp;RPJC':2LSXIU8HG(.D:28_+O]TGV&gt;B&amp;0D&amp;/Y</w:t>
      </w: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MNYUSM.5$6D9/AR`=)&lt;.4@K*&gt;:CK+0$FY(R41ZH;&amp;7%ZL[Y&gt;KN^7-:KVF]&lt;W#</w:t>
      </w: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M^OYAM;J\R)\OKYO=K\&gt;G[&lt;OS4T5?-S__?`/`)D/XED;IE*?1"%D?;4RL23QY</w:t>
      </w: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ML=&amp;Z,S5&amp;I61Q##7#@1IVCGHC'DI,D*$U,B12U*F@$LJTOJM1"K/.8#73J"(=</w:t>
      </w: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M)#1V#\#`G9S`L3]3+\XVC$?.R9@Y_-`Q,"/U*D;V;&gt;:3KG=`2G%1G+P@@EDQ</w:t>
      </w: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M4$%R8C?+VW3X&gt;[R.]$-43+1+*CC;FE3!G&amp;T,A&lt;%'VG,:F3W]ED@;,#B.I+RF</w:t>
      </w: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M'&lt;.GXXI&gt;530`3.*K\B#3Q)[5,;,X&amp;30\L,_&amp;D3Q.&gt;#E3'`)D&gt;YV/O$F/%45E</w:t>
      </w: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M]2P+&amp;'+DF(7_Y&gt;#5F;9!&amp;=5-KJX&gt;J1TX@@GV6DEH!&lt;"C=(ROD$@.",)C!GQ2</w:t>
      </w: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MR&lt;+K:),AP3R$#V$A#W2+1@YXS4YM4T58;EUU-&gt;F9&gt;&amp;%.%[WEE??!,DJ3&lt;IT@</w:t>
      </w: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MP,"J,&gt;B439$T1\#-W`;YY3&lt;@20]-DH#'#1JM&lt;R*-PH`XP&lt;___JI#0B/?*?K!</w:t>
      </w: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MN0R;+&gt;9JG#U!QTXYAK3GP*WX.9K70A2!7T`Z&amp;GP8T(0/MHNBD:]/((O'K".?</w:t>
      </w: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MRPDFZ;$_V6&lt;)$TW4.&lt;P]&amp;W6R$)X[C,/G3`&amp;#`V.0%O22\6S"*`T]S2JUC4W@</w:t>
      </w: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M(A0`13&gt;'4_:'\EC!#HHVPG_DS^E4&amp;6)*Z"WM,X9X&lt;-@"_K\0G]LS&gt;9]&amp;IRIP</w:t>
      </w: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M4_A(%1DZDIZQ;QD;E!X#\[Y$D%RF0_FRO:%E3&amp;*6"_0"6]&gt;U2:E_6"Y5;,1)</w:t>
      </w: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M&gt;UY@RY:&gt;Q[AL`Y;C]OMJ*5K7I;*^7=W?U%M.=;Z'ZGP/U=!3EUX""I=(G&gt;^A</w:t>
      </w: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M&amp;O=0G&gt;^AA4F=N[SX!U!+`0(4`!0````(`%24LS[/7RGXM0(``+H$```*````</w:t>
      </w: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M``````$`(`"V@0````!!;71R86LN='AT4$L%!@`````!``$`.````-T"````</w:t>
      </w: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515D43" w:rsidRDefault="00515D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end</w:t>
      </w:r>
    </w:p>
    <w:p w:rsidR="00515D43" w:rsidRDefault="00515D43">
      <w:pPr>
        <w:widowControl w:val="0"/>
        <w:autoSpaceDE w:val="0"/>
        <w:autoSpaceDN w:val="0"/>
        <w:adjustRightInd w:val="0"/>
        <w:spacing w:after="0" w:line="240" w:lineRule="auto"/>
        <w:rPr>
          <w:rFonts w:ascii="Courier New" w:hAnsi="Courier New" w:cs="Courier New"/>
          <w:sz w:val="20"/>
          <w:szCs w:val="20"/>
        </w:rPr>
      </w:pPr>
    </w:p>
    <w:p w:rsidR="00515D43" w:rsidRDefault="00515D43">
      <w:pPr>
        <w:widowControl w:val="0"/>
        <w:autoSpaceDE w:val="0"/>
        <w:autoSpaceDN w:val="0"/>
        <w:adjustRightInd w:val="0"/>
        <w:spacing w:after="0" w:line="240" w:lineRule="auto"/>
        <w:rPr>
          <w:rFonts w:ascii="Courier New" w:hAnsi="Courier New" w:cs="Courier New"/>
          <w:sz w:val="20"/>
          <w:szCs w:val="20"/>
        </w:rPr>
      </w:pPr>
    </w:p>
    <w:p w:rsidR="00515D43" w:rsidRDefault="00515D43">
      <w:pPr>
        <w:widowControl w:val="0"/>
        <w:autoSpaceDE w:val="0"/>
        <w:autoSpaceDN w:val="0"/>
        <w:adjustRightInd w:val="0"/>
        <w:spacing w:after="0" w:line="240" w:lineRule="auto"/>
        <w:rPr>
          <w:rFonts w:ascii="MS Sans Serif" w:hAnsi="MS Sans Serif" w:cs="MS Sans Serif"/>
          <w:sz w:val="24"/>
          <w:szCs w:val="24"/>
        </w:rPr>
      </w:pPr>
    </w:p>
    <w:p w:rsidR="00515D43" w:rsidRDefault="00515D43">
      <w:pPr>
        <w:widowControl w:val="0"/>
        <w:autoSpaceDE w:val="0"/>
        <w:autoSpaceDN w:val="0"/>
        <w:adjustRightInd w:val="0"/>
        <w:spacing w:after="0" w:line="240" w:lineRule="auto"/>
        <w:rPr>
          <w:rFonts w:ascii="Times New Roman" w:hAnsi="Times New Roman" w:cs="Times New Roman"/>
          <w:sz w:val="24"/>
          <w:szCs w:val="24"/>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West 'causing drought' in Iran, says Ahmadinejad</w:t>
      </w: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AFP – May 19, 2011</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Iranian President Mahmoud Ahmadinejad on Thursday accused Western countries of devising plans to "cause drought" in the Islamic republic, as he inaugurated a dam in a central province. "Western countries have designed plans to cause drought in certain areas of the world, including Iran," the official IRNA news agency quoted Ahmadinejad as saying in the central city of Arak in Markazi province. "According to reports on climate, whose accuracy has been verified, European countries are using special equipment to force clouds to dump" their water on their continent, he said. By doing so, "they prevent rain clouds from reaching regional countries, including Iran," Ahmadinejad charged.</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Iran has experienced several droughts in recent years.</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Ahmadinejad also recalled, according to IRNA, an article by "a Western politician", whom he did not identify, in which "droughts in some regions spanning from Turkey and Iran to east of Asia are predicted for the next 30 years." "The regions (referred to in) the article... include countries whose culture and civilisation frighten the West," Ahmadinejad said in support of his argument.</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Iranian leaders claim on a daily basis that Western countries, led by arch-foe United States, devise "plots" to undermine the Islamic republic and to impede its economic and scientific development. They also accuse world powers of colluding against Iran's national unity, independence, political establishment, culture as well as international relations.</w:t>
      </w:r>
    </w:p>
    <w:p w:rsidR="00515D43" w:rsidRDefault="00515D43">
      <w:pPr>
        <w:widowControl w:val="0"/>
        <w:autoSpaceDE w:val="0"/>
        <w:autoSpaceDN w:val="0"/>
        <w:adjustRightInd w:val="0"/>
        <w:spacing w:after="0" w:line="240" w:lineRule="auto"/>
        <w:rPr>
          <w:rFonts w:ascii="Arial" w:hAnsi="Arial" w:cs="Arial"/>
          <w:sz w:val="10"/>
          <w:szCs w:val="10"/>
        </w:rPr>
      </w:pPr>
    </w:p>
    <w:p w:rsidR="00515D43" w:rsidRDefault="00515D43">
      <w:pPr>
        <w:widowControl w:val="0"/>
        <w:autoSpaceDE w:val="0"/>
        <w:autoSpaceDN w:val="0"/>
        <w:adjustRightInd w:val="0"/>
        <w:spacing w:after="0" w:line="240" w:lineRule="auto"/>
        <w:rPr>
          <w:rFonts w:ascii="Arial" w:hAnsi="Arial" w:cs="Arial"/>
          <w:sz w:val="28"/>
          <w:szCs w:val="28"/>
        </w:rPr>
      </w:pPr>
      <w:r>
        <w:rPr>
          <w:rFonts w:ascii="Times New Roman" w:hAnsi="Times New Roman" w:cs="Times New Roman"/>
          <w:sz w:val="20"/>
          <w:szCs w:val="20"/>
        </w:rPr>
        <w:tab/>
        <w:t>---http://www.google.com/hostednews/afp/article/ALeqM5jWAKsqvYi7k7EM5ZOvgegI_NfpTA?docId=CNG.f8148c8abc3025f9a5141c0aa5463b7b.481</w:t>
      </w:r>
    </w:p>
    <w:p w:rsidR="00515D43" w:rsidRDefault="00515D43">
      <w:pPr>
        <w:widowControl w:val="0"/>
        <w:autoSpaceDE w:val="0"/>
        <w:autoSpaceDN w:val="0"/>
        <w:adjustRightInd w:val="0"/>
        <w:spacing w:after="0" w:line="240" w:lineRule="auto"/>
        <w:rPr>
          <w:rFonts w:ascii="Arial" w:hAnsi="Arial" w:cs="Arial"/>
          <w:sz w:val="28"/>
          <w:szCs w:val="28"/>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12"/>
          <w:szCs w:val="12"/>
        </w:rPr>
      </w:pPr>
    </w:p>
    <w:p w:rsidR="00515D43" w:rsidRDefault="00515D43">
      <w:pPr>
        <w:widowControl w:val="0"/>
        <w:autoSpaceDE w:val="0"/>
        <w:autoSpaceDN w:val="0"/>
        <w:adjustRightInd w:val="0"/>
        <w:spacing w:after="0" w:line="240" w:lineRule="auto"/>
        <w:rPr>
          <w:rFonts w:ascii="Times New Roman" w:hAnsi="Times New Roman" w:cs="Times New Roman"/>
          <w:sz w:val="28"/>
          <w:szCs w:val="28"/>
        </w:rPr>
      </w:pPr>
    </w:p>
    <w:p w:rsidR="00515D43" w:rsidRDefault="00515D4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India’s Approach to Democracy Promotion</w:t>
      </w:r>
    </w:p>
    <w:p w:rsidR="00515D43" w:rsidRDefault="00515D4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Madhavibhasin   -   March 16, 2011</w:t>
      </w:r>
    </w:p>
    <w:p w:rsidR="00515D43" w:rsidRDefault="00515D43">
      <w:pPr>
        <w:widowControl w:val="0"/>
        <w:autoSpaceDE w:val="0"/>
        <w:autoSpaceDN w:val="0"/>
        <w:adjustRightInd w:val="0"/>
        <w:spacing w:after="0" w:line="240" w:lineRule="auto"/>
        <w:rPr>
          <w:rFonts w:ascii="Arial" w:hAnsi="Arial" w:cs="Arial"/>
          <w:sz w:val="12"/>
          <w:szCs w:val="12"/>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India’s support for democratic values, sans the missionary zeal to promote democratic regimes is fast emerging as a reasonable response to the surge in democratic aspirations across the globe.    . . .</w:t>
      </w: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India continues to accord greater primacy to national sovereignty than to democracy. Though democratic regimes are hugely appreciated   . . .   S.M. Krishna reiterated India’s position by stating that, “India does not believe in interfering in the affairs of another country.    . . .”</w:t>
      </w: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Even with the deteriorating situation in Libya, India has expressed its opposition to the use of force. Foreign Secretary Nirupama Rao categorically enunciated India’s position by stating that, “As of now we are not in favour of a no-fly-zone. We are opposed to use of force.” . . .</w:t>
      </w: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w:t>
      </w:r>
      <w:r>
        <w:rPr>
          <w:rFonts w:ascii="Arial" w:hAnsi="Arial" w:cs="Arial"/>
          <w:sz w:val="16"/>
          <w:szCs w:val="16"/>
        </w:rPr>
        <w:t xml:space="preserve">    </w:t>
      </w:r>
      <w:r>
        <w:rPr>
          <w:rFonts w:ascii="Arial" w:hAnsi="Arial" w:cs="Arial"/>
          <w:sz w:val="20"/>
          <w:szCs w:val="20"/>
        </w:rPr>
        <w:t>P.M. Singh observed, “I am not advocating diplomatic activism, nor would we in India ever advocate any form of political interventionism.  Far from it.  We recognize the sovereign right of every country to order its affairs in the manner most desired by its people.   . . .”</w:t>
      </w:r>
    </w:p>
    <w:p w:rsidR="00515D43" w:rsidRDefault="00515D43">
      <w:pPr>
        <w:widowControl w:val="0"/>
        <w:autoSpaceDE w:val="0"/>
        <w:autoSpaceDN w:val="0"/>
        <w:adjustRightInd w:val="0"/>
        <w:spacing w:after="0" w:line="240" w:lineRule="auto"/>
        <w:rPr>
          <w:rFonts w:ascii="Arial" w:hAnsi="Arial" w:cs="Arial"/>
          <w:sz w:val="8"/>
          <w:szCs w:val="8"/>
        </w:rPr>
      </w:pPr>
    </w:p>
    <w:p w:rsidR="00515D43" w:rsidRDefault="00515D43">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0"/>
          <w:szCs w:val="20"/>
        </w:rPr>
        <w:tab/>
        <w:t>--- http://india.foreignpolicyblogs.com/2011/03/16/indias-approach-to-democracy-promotion/</w:t>
      </w:r>
    </w:p>
    <w:p w:rsidR="00515D43" w:rsidRDefault="00515D43">
      <w:pPr>
        <w:widowControl w:val="0"/>
        <w:autoSpaceDE w:val="0"/>
        <w:autoSpaceDN w:val="0"/>
        <w:adjustRightInd w:val="0"/>
        <w:spacing w:after="0" w:line="240" w:lineRule="auto"/>
        <w:rPr>
          <w:rFonts w:ascii="Arial" w:hAnsi="Arial" w:cs="Arial"/>
          <w:sz w:val="12"/>
          <w:szCs w:val="12"/>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UK police: Rwandan government threatens exiles</w:t>
      </w: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Meera Selva, Associated Press   –   May 20, 2011</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Earlier this year, Kagame's former attorney general, intelligence chief, army chief and chief of staff all were convicted earlier this month by a Rwandan military court of disturbing public order, threatening state security, sectarianism and criminal conspiracy. The men fell out with Kagame after criticizing his ability to deliver democracy and stability in his country.  . . .</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Comments</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Christian M</w:t>
      </w:r>
    </w:p>
    <w:p w:rsidR="00515D43" w:rsidRDefault="00515D43">
      <w:pPr>
        <w:widowControl w:val="0"/>
        <w:autoSpaceDE w:val="0"/>
        <w:autoSpaceDN w:val="0"/>
        <w:adjustRightInd w:val="0"/>
        <w:spacing w:after="0" w:line="240" w:lineRule="auto"/>
        <w:rPr>
          <w:rFonts w:ascii="Arial" w:hAnsi="Arial" w:cs="Arial"/>
          <w:sz w:val="8"/>
          <w:szCs w:val="8"/>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men fell out with Kagame after criticizing his ability to deliver democracy and stability in his country."</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sentences is not true at all .... these men were corrupted, for a fact - the former attorney general was involved in case of corruption, he extorted millions from a bank by blackmailing it because he could just make their business a hell. This [is] factual go to Rwanda and ask anybody. This guy used to abuse power when he was an attorney, everybody knows him in Rwanda.....</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The intelligence chief was involved in also a case of corruption he accepted money from KAbuga who is a big profile genocidaire in hiding, when he was about to be arrested this former intelligence chief tipped him for a big a amount of money .......</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The former chief of Staff, if you want to find out about him go to north eastern RWanda, ask peasants over there, this guy chased people out of their lands by force and occupied [their] lands, he stole thousands of cows from northwestern RWanda farmers and moved [them] to his farm ... all this is factual.</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sad thing is that the average people in Rwanda doesn't have access to [the] Internet. They would be stunned by this sentence ..... and by the way, these men who are so worried about their security, they are involved now in a string of grenade attacks in Kigali city .... what they do [is] they find people in the region, former rebels, for few hundreds of dollars they send them to pose grenades in public places   . . .   They stir insecurity so to show that there [is] no security in Rwanda.....</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am a Rwandan and I would wish to invite (whoever is reading this) to do his own research, especially by going to Rwanda, because what you read on [the] Internet is totally different [from] the reality    -    Chris</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 .</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Christian M</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I  wouldn't be surprised if one of their followers is indeed murdered, they can do anything to pin it [on the] RWandan government and make it look as if RWanda did it ...... all they want is to tarnish the image of RWanda..... and killing one of their [own] members is a small thing to these people, MI5 needs to be careful and to look where this threat is emanating, and who actually is their source......</w:t>
      </w:r>
    </w:p>
    <w:p w:rsidR="00515D43" w:rsidRDefault="00515D43">
      <w:pPr>
        <w:widowControl w:val="0"/>
        <w:autoSpaceDE w:val="0"/>
        <w:autoSpaceDN w:val="0"/>
        <w:adjustRightInd w:val="0"/>
        <w:spacing w:after="0" w:line="240" w:lineRule="auto"/>
        <w:rPr>
          <w:rFonts w:ascii="Arial" w:hAnsi="Arial" w:cs="Arial"/>
          <w:sz w:val="8"/>
          <w:szCs w:val="8"/>
        </w:rPr>
      </w:pPr>
    </w:p>
    <w:p w:rsidR="00515D43" w:rsidRDefault="00515D43">
      <w:pPr>
        <w:widowControl w:val="0"/>
        <w:autoSpaceDE w:val="0"/>
        <w:autoSpaceDN w:val="0"/>
        <w:adjustRightInd w:val="0"/>
        <w:spacing w:after="0" w:line="240" w:lineRule="auto"/>
        <w:rPr>
          <w:rFonts w:ascii="Arial" w:hAnsi="Arial" w:cs="Arial"/>
          <w:sz w:val="12"/>
          <w:szCs w:val="12"/>
        </w:rPr>
      </w:pPr>
    </w:p>
    <w:p w:rsidR="00515D43" w:rsidRDefault="00515D43">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http://news.yahoo.com/s/ap/20110520/ap_on_re_eu/rwanda_exiles</w:t>
      </w:r>
    </w:p>
    <w:p w:rsidR="00515D43" w:rsidRDefault="00515D43">
      <w:pPr>
        <w:widowControl w:val="0"/>
        <w:autoSpaceDE w:val="0"/>
        <w:autoSpaceDN w:val="0"/>
        <w:adjustRightInd w:val="0"/>
        <w:spacing w:after="0" w:line="240" w:lineRule="auto"/>
        <w:rPr>
          <w:rFonts w:ascii="Arial" w:hAnsi="Arial" w:cs="Arial"/>
          <w:sz w:val="12"/>
          <w:szCs w:val="12"/>
        </w:rPr>
      </w:pPr>
    </w:p>
    <w:p w:rsidR="00515D43" w:rsidRDefault="00515D43">
      <w:pPr>
        <w:widowControl w:val="0"/>
        <w:autoSpaceDE w:val="0"/>
        <w:autoSpaceDN w:val="0"/>
        <w:adjustRightInd w:val="0"/>
        <w:spacing w:after="0" w:line="240" w:lineRule="auto"/>
        <w:rPr>
          <w:rFonts w:ascii="Arial" w:hAnsi="Arial" w:cs="Arial"/>
          <w:sz w:val="12"/>
          <w:szCs w:val="12"/>
        </w:rPr>
      </w:pPr>
    </w:p>
    <w:p w:rsidR="00515D43" w:rsidRDefault="00515D43">
      <w:pPr>
        <w:widowControl w:val="0"/>
        <w:autoSpaceDE w:val="0"/>
        <w:autoSpaceDN w:val="0"/>
        <w:adjustRightInd w:val="0"/>
        <w:spacing w:after="0" w:line="240" w:lineRule="auto"/>
        <w:rPr>
          <w:rFonts w:ascii="Arial" w:hAnsi="Arial" w:cs="Arial"/>
          <w:sz w:val="12"/>
          <w:szCs w:val="12"/>
        </w:rPr>
      </w:pPr>
    </w:p>
    <w:p w:rsidR="00515D43" w:rsidRDefault="00515D43">
      <w:pPr>
        <w:widowControl w:val="0"/>
        <w:autoSpaceDE w:val="0"/>
        <w:autoSpaceDN w:val="0"/>
        <w:adjustRightInd w:val="0"/>
        <w:spacing w:after="140" w:line="280" w:lineRule="atLeast"/>
        <w:ind w:right="180"/>
        <w:rPr>
          <w:rFonts w:ascii="Arial" w:hAnsi="Arial" w:cs="Arial"/>
          <w:sz w:val="20"/>
          <w:szCs w:val="20"/>
        </w:rPr>
      </w:pPr>
    </w:p>
    <w:p w:rsidR="00515D43" w:rsidRDefault="00515D43">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Alfonso accepted Primo de Rivera's resignation in January 1930, but the onus attached to the dictatorship had weakened the crown. Even Conservative politicians no longer enthusiastically supported the monarchy; Alfonso had betrayed them by accepting dictatorial rule. The socialist, anarcho-syndicalist, and Catalan regionalist movements began to cooperate with the Republicans, as did numerous former monarchists and army officers. Efforts to overthrow the monarchy by force in December 1930 failed, but municipal elections in April 1931 gave such overwhelming majorities to Republican candidates in urban areas that Alfonso left Spain. The second Spanish republic was proclaimed at once, with Niceto Alcalá Zamora y Torres as president.</w:t>
      </w:r>
    </w:p>
    <w:p w:rsidR="00515D43" w:rsidRDefault="00515D43">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The new republic had far wider support than its predecessor of 1873 and 1874, but some of its early adherents expected it to be conservative, while others wanted revolutionary change. Unfortunately, the republic came into being at a time not only of deepening worldwide economic depression, but also of intense ideological conflict throughout Europe. At first, a coalition of left-wing Republican parties and the Socialists, headed by Manuel Azaña, gave the republic a progressive tone. Falsified elections and other corrupt practices of the monarchy were ended, women gained the right to vote, Catalonia was granted autonomy, and the principle of home rule was extended to the Basque provinces. Major social reforms were instituted, taxation became more equitable, and in 1932 a land-reform effort began to redistribute the large estates in southern Spain to the peasantry. A large-scale program of irrigation and other public works was undertaken. Education was secularized, the Jesuit order was dissolved, and all church-state ties were ended. So ambitious a program was difficult to carry out, and the process alienated many groups that had at first accepted the republic. Azaña's coalition began to crumble in 1933. Moderates saw the pace of social reform as too rapid; Socialists considered it indecisive. Opposition also increased among Roman Catholics, who resented Republican anticlericism, and radicals, who wanted immediate social revolution.</w:t>
      </w:r>
    </w:p>
    <w:p w:rsidR="00515D43" w:rsidRDefault="00515D43">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In the elections of November 1933 rightist and center-right parties won a majority. The result was a partial revival of rightist power, modification of the anticlerical measures, and a weakening of land reform and other social legislation. Leftist forces reacted strongly against these changes. The tension exploded in October 1934, when a Socialist-led workers' insurrection swept Asturias, and Catalonia proclaimed its independence from Madrid. After two weeks of savage fighting, the Asturian revolt was crushed. A further shift to the right then occurred, but only negative policies were pursued; the governing coalition fell apart in late 1935.</w:t>
      </w:r>
    </w:p>
    <w:p w:rsidR="00515D43" w:rsidRDefault="00515D43">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A new leftist coalition, the Popular Front, scored a narrow victory in the elections of February 1936. This coalition, also headed by Azaña, was less moderate than the previous one because the Socialists had become more radical and it now included the Communists. The leftist reform legislation was restored, and Azaña applied it with great vigor. Tension mounted as street battles between rival groups spread, peasants seized land, and strikes swept Spain. A conspiracy to overthrow the government took shape under General Emilio Mola, and by early July it had gained the support of thousands of military officers.</w:t>
      </w:r>
      <w:r>
        <w:rPr>
          <w:rFonts w:ascii="Arial" w:hAnsi="Arial" w:cs="Arial"/>
          <w:position w:val="6"/>
          <w:sz w:val="20"/>
          <w:szCs w:val="20"/>
          <w:vertAlign w:val="superscript"/>
        </w:rPr>
        <w:t xml:space="preserve"> </w:t>
      </w:r>
      <w:r w:rsidRPr="000E5DFE">
        <w:rPr>
          <w:rStyle w:val="FootnoteReference"/>
        </w:rPr>
        <w:footnoteReference w:id="6"/>
      </w:r>
    </w:p>
    <w:p w:rsidR="00515D43" w:rsidRDefault="00515D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Spanish Civil War</w:t>
      </w: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Wikipedia</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 least 50,000 people were executed during the war.    . . .</w:t>
      </w: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16"/>
          <w:szCs w:val="16"/>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early days of the war, executions of people who were caught on the "wrong" side of the lines became widespread in conquered areas. The outbreak of the war provided an excuse for settling accounts and resolving longstanding feuds. In these paseos ("strolls"), as the executions were called, the victims were taken from their refuges or jails to be shot outside of town. The corpses were abandoned or interred in graves dug by the victims themselves. Local police just noted the appearance of the corpses.</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Nationalists</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atrocities of the Nationalists, frequently ordered by authorities in order to eradicate any trace of leftism in Spain, were common. According to historian Paul Preston, the minimum number of those executed by the rebels is 130,000, and is likely to be far higher. The violence carried out in the rebel zone was carried out by the military, the "Civil Guard", the Falange in the name of the regime and legitimized by the Catholic Church.</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Many such acts were committed by reactionary groups during the first weeks of the war. This included the execution of school teachers (because the efforts of the Second Spanish Republic to promote laicism and to displace the Church from the education system by closing religious schools were considered by the Nationalists as an attack on the Roman Catholic Church); the massive killings of civilians in the cities they captured; the execution of unwanted individuals (including non-combatants such as trade-unionists and known Republican sympathisers etc.).</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Nationalist forces committed massacres in Seville, where some 10,000 people were shot. In Granada, about 8000 people were murdered. After the capture of Almendralejo, about 1000 prisoners were shot, including 100 women. Some 2000 were shot when Badajoz was conquered by Yagüe. In February 1937, over 4000 were killed after the capture of Malaga. When Bilbao was conquered, some 1000 people were executed. The numbers of people killed as the African columns raped, looted, and murdered their way through Seville and Madrid are particularly difficult to calculate.</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Nationalists murdered Catholic clerics. In one particular incident, following the capture of Bilbao, hundreds of people, including 16 priests who had served as chaplains for the Republican forces, were taken to the countryside or to graveyards to be murdered.</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Franco's forces persecuted Protestants. They murdered Protestant ministers. Franco's forces were determined to remove from Spain the "Protestant heresy". Pastor Miguel Blanco of Seville was shot as was Pastor Jose Garcia Fernandez of Granada. In Zaragoza, on August 18, the church was attacked by Franco's forces. They destroyed furniture, burned Bibles and books and stole valuables. Many Protestants were imprisoned and tortured.</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Nationalists also persecuted the Basque people. They were determined to eradicate Basque culture. According to Basque sources, some 22,000 Basques were murdered by Nationalists immediately after the Civil War.</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Nationalist side also conducted aerial bombing of cities in Republican territory, carried out mainly by the Luftwaffe volunteers of the Condor Legion and the Italian air force volunteers of the Corpo Truppe Volontarie (Madrid, Barcelona, Valencia, Guernica, and other cities). The most notorious example of this tactic of terror bombings was the Bombing of Guernica.</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Republicans</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"Execution" of the Sacred Heart of Jesus by Communist militiamen at Cerro de los Ángeles near Madrid, on 7 August 1936, was the most infamous of the widespread desecration of religious property. The photograph in the London Daily Mail had the caption the "Spanish Reds' war on religion."</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 estimated 55,000 civilians died in Republican-held territories. The Republican government was anticlerical and supporters attacked and murdered Roman Catholic clergy in reaction to news of the military revolt. In Republican held territories, Roman Catholic churches, convents, monasteries, and cemeteries were desecrated. Through the war, nearly all segments of the Republicans, Basques being a notable exception, took part in semi-organized anti-Roman Catholic, anticlerical killing of 6,832 members of the Catholic clergy and religious orders (including 13 bishops, 4,172 priests, 2,364 monks and friars, and 283 nuns). By the end of the war 20 percent of the nation's clergy had been killed.</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well as clergy, civilians were executed in Republican areas. Some civilians were executed as suspected fifth columnists. Others died in revenge due to news of the massacres carried out in the Nationalist zone. Air raids committed against Republican cities were another factor.</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Historian Paul Preston emphasizes that Republican authorities did not order such measures to be taken. As pressure mounted with increasing success of the Nationalists, many civilians were executed by councils and tribunals controlled by competing Communist and Anarchist groups. Some anarchists were executed by Soviet-advised communist functionaries in Catalonia as described by George Orwell's description of the purges in Barcelona in 1937 in Homage to Catalonia., which followed a period of increasing tension between Competing elements of the Catalan political scene.</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Puente Nuevo, the bridge that links together the two parts of Ronda in Spain. Behind the window near the center of the bridge is a prison cell. During the Civil War, both Nationalists and Republicans are claimed to have thrown prisoners from the bridge to their deaths in the canyon.</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Republicans initially reacted to the attempted coup by arresting and executing actual and perceived Nationalists. In the Andalusian town of Ronda, 512 alleged Nationalists were executed in the first month of the war.</w:t>
      </w: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Communist Santiago Carrillo Solares has been accused of the killing of Nationalists in the Paracuellos massacre near Paracuellos del Jarama and Torrejón de Ardoz. However, the extent to which (in particular) Carrillo was responsible remains a source of debate. The Pro-Soviet Communists committed numerous atrocities against fellow Republicans, including other Marxists: André Marty, known as the Butcher of Albacete, was responsible for the deaths of some 500 members of the International Brigades. Andreu Nin, leader of the POUM (Workers' Party of Marxist Unification), and many prominent POUM members were murdered by the Communists.</w:t>
      </w:r>
    </w:p>
    <w:p w:rsidR="00515D43" w:rsidRDefault="00515D43">
      <w:pPr>
        <w:widowControl w:val="0"/>
        <w:autoSpaceDE w:val="0"/>
        <w:autoSpaceDN w:val="0"/>
        <w:adjustRightInd w:val="0"/>
        <w:spacing w:after="0" w:line="240" w:lineRule="auto"/>
        <w:rPr>
          <w:rFonts w:ascii="Times New Roman" w:hAnsi="Times New Roman" w:cs="Times New Roman"/>
          <w:sz w:val="24"/>
          <w:szCs w:val="24"/>
        </w:rPr>
      </w:pPr>
    </w:p>
    <w:p w:rsidR="00515D43" w:rsidRDefault="00515D4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http://en.wikipedia.org/wiki/Spanish_Civil_War</w:t>
      </w:r>
    </w:p>
    <w:p w:rsidR="00515D43" w:rsidRDefault="00515D43">
      <w:pPr>
        <w:widowControl w:val="0"/>
        <w:autoSpaceDE w:val="0"/>
        <w:autoSpaceDN w:val="0"/>
        <w:adjustRightInd w:val="0"/>
        <w:spacing w:before="100" w:after="10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Arial" w:hAnsi="Arial" w:cs="Arial"/>
          <w:sz w:val="20"/>
          <w:szCs w:val="20"/>
        </w:rPr>
      </w:pPr>
    </w:p>
    <w:p w:rsidR="00515D43" w:rsidRDefault="00515D43">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515D43" w:rsidRDefault="00515D43">
      <w:pPr>
        <w:widowControl w:val="0"/>
        <w:autoSpaceDE w:val="0"/>
        <w:autoSpaceDN w:val="0"/>
        <w:adjustRightInd w:val="0"/>
        <w:spacing w:after="0" w:line="240" w:lineRule="auto"/>
        <w:rPr>
          <w:rFonts w:ascii="Times New Roman" w:hAnsi="Times New Roman" w:cs="Times New Roman"/>
          <w:sz w:val="34"/>
          <w:szCs w:val="34"/>
        </w:rPr>
      </w:pPr>
    </w:p>
    <w:p w:rsidR="00515D43" w:rsidRDefault="00515D43">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515D43" w:rsidSect="00515D43">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D43" w:rsidRDefault="00515D43" w:rsidP="00515D43">
      <w:pPr>
        <w:spacing w:after="0" w:line="240" w:lineRule="auto"/>
      </w:pPr>
      <w:r>
        <w:separator/>
      </w:r>
    </w:p>
  </w:endnote>
  <w:endnote w:type="continuationSeparator" w:id="0">
    <w:p w:rsidR="00515D43" w:rsidRDefault="00515D43" w:rsidP="00515D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Sans Serif">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D43" w:rsidRDefault="00515D4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D43" w:rsidRDefault="00515D43" w:rsidP="00515D43">
      <w:pPr>
        <w:spacing w:after="0" w:line="240" w:lineRule="auto"/>
      </w:pPr>
      <w:r>
        <w:separator/>
      </w:r>
    </w:p>
  </w:footnote>
  <w:footnote w:type="continuationSeparator" w:id="0">
    <w:p w:rsidR="00515D43" w:rsidRDefault="00515D43" w:rsidP="00515D43">
      <w:pPr>
        <w:spacing w:after="0" w:line="240" w:lineRule="auto"/>
      </w:pPr>
      <w:r>
        <w:continuationSeparator/>
      </w:r>
    </w:p>
  </w:footnote>
  <w:footnote w:id="1">
    <w:p w:rsidR="00515D43" w:rsidRDefault="00515D43">
      <w:pPr>
        <w:widowControl w:val="0"/>
        <w:autoSpaceDE w:val="0"/>
        <w:autoSpaceDN w:val="0"/>
        <w:adjustRightInd w:val="0"/>
        <w:spacing w:after="0" w:line="240" w:lineRule="auto"/>
        <w:ind w:left="720" w:right="576"/>
        <w:rPr>
          <w:rFonts w:ascii="Arial" w:hAnsi="Arial" w:cs="Arial"/>
          <w:sz w:val="18"/>
          <w:szCs w:val="18"/>
        </w:rPr>
      </w:pPr>
      <w:r w:rsidRPr="000E5DFE">
        <w:rPr>
          <w:rStyle w:val="FootnoteReference"/>
        </w:rPr>
        <w:footnoteRef/>
      </w:r>
      <w:r>
        <w:rPr>
          <w:rFonts w:ascii="Times New Roman" w:hAnsi="Times New Roman" w:cs="Times New Roman"/>
          <w:sz w:val="24"/>
          <w:szCs w:val="24"/>
        </w:rPr>
        <w:t xml:space="preserve"> </w:t>
      </w:r>
      <w:r>
        <w:rPr>
          <w:rFonts w:ascii="Arial" w:hAnsi="Arial" w:cs="Arial"/>
          <w:sz w:val="18"/>
          <w:szCs w:val="18"/>
        </w:rPr>
        <w:t>North, Douglass C., John Joseph Wallis and Barry R. Weingast, (2009) Violence and Social Orders: A conceptual framework for Interpreting Recorded Human History, Cambridge University Press;   North, Douglass C., John Joseph Wallis and Barry R. Weingast, December 2006. “A Framework for Interpreting Recorded Human History.” NBER working paper w12795,  Putzel J, (2005) Why Templates for Media Development do not work in Crisis States, LSE CSRC</w:t>
      </w:r>
    </w:p>
  </w:footnote>
  <w:footnote w:id="2">
    <w:p w:rsidR="00515D43" w:rsidRDefault="00515D43">
      <w:pPr>
        <w:widowControl w:val="0"/>
        <w:autoSpaceDE w:val="0"/>
        <w:autoSpaceDN w:val="0"/>
        <w:adjustRightInd w:val="0"/>
        <w:spacing w:after="0" w:line="240" w:lineRule="auto"/>
        <w:ind w:left="720" w:right="576"/>
        <w:rPr>
          <w:rFonts w:ascii="Arial" w:hAnsi="Arial" w:cs="Arial"/>
          <w:sz w:val="18"/>
          <w:szCs w:val="18"/>
        </w:rPr>
      </w:pPr>
      <w:r w:rsidRPr="000E5DFE">
        <w:rPr>
          <w:rStyle w:val="FootnoteReference"/>
        </w:rPr>
        <w:footnoteRef/>
      </w:r>
      <w:r>
        <w:rPr>
          <w:rFonts w:ascii="Times New Roman" w:hAnsi="Times New Roman" w:cs="Times New Roman"/>
          <w:sz w:val="24"/>
          <w:szCs w:val="24"/>
        </w:rPr>
        <w:t xml:space="preserve"> </w:t>
      </w:r>
      <w:r>
        <w:rPr>
          <w:rFonts w:ascii="Arial" w:hAnsi="Arial" w:cs="Arial"/>
          <w:sz w:val="18"/>
          <w:szCs w:val="18"/>
        </w:rPr>
        <w:t>Khan, M.H., 2005. "Markets, States and Democracy: Patron-Client Networks and the Case for Democracy in Developing Countries". Democratization 12 (5): 705-25.</w:t>
      </w:r>
    </w:p>
    <w:p w:rsidR="00515D43" w:rsidRDefault="00515D43">
      <w:pPr>
        <w:widowControl w:val="0"/>
        <w:autoSpaceDE w:val="0"/>
        <w:autoSpaceDN w:val="0"/>
        <w:adjustRightInd w:val="0"/>
        <w:spacing w:after="0" w:line="240" w:lineRule="auto"/>
        <w:ind w:left="720" w:right="576"/>
        <w:rPr>
          <w:rFonts w:ascii="Arial" w:hAnsi="Arial" w:cs="Arial"/>
          <w:sz w:val="18"/>
          <w:szCs w:val="18"/>
        </w:rPr>
      </w:pPr>
    </w:p>
  </w:footnote>
  <w:footnote w:id="3">
    <w:p w:rsidR="00515D43" w:rsidRDefault="00515D43">
      <w:pPr>
        <w:widowControl w:val="0"/>
        <w:autoSpaceDE w:val="0"/>
        <w:autoSpaceDN w:val="0"/>
        <w:adjustRightInd w:val="0"/>
        <w:spacing w:after="0" w:line="240" w:lineRule="auto"/>
        <w:ind w:left="720" w:right="576"/>
        <w:rPr>
          <w:rFonts w:ascii="Arial" w:hAnsi="Arial" w:cs="Arial"/>
          <w:sz w:val="18"/>
          <w:szCs w:val="18"/>
        </w:rPr>
      </w:pPr>
      <w:r w:rsidRPr="000E5DFE">
        <w:rPr>
          <w:rStyle w:val="FootnoteReference"/>
        </w:rPr>
        <w:footnoteRef/>
      </w:r>
      <w:r>
        <w:rPr>
          <w:rFonts w:ascii="Times New Roman" w:hAnsi="Times New Roman" w:cs="Times New Roman"/>
          <w:sz w:val="24"/>
          <w:szCs w:val="24"/>
        </w:rPr>
        <w:t xml:space="preserve"> </w:t>
      </w:r>
      <w:r>
        <w:rPr>
          <w:rFonts w:ascii="Arial" w:hAnsi="Arial" w:cs="Arial"/>
          <w:sz w:val="18"/>
          <w:szCs w:val="18"/>
        </w:rPr>
        <w:t>Carothers, Thomas (January 2007), How Democracies Emerge: the sequencing fallacy,</w:t>
      </w:r>
    </w:p>
    <w:p w:rsidR="00515D43" w:rsidRDefault="00515D43">
      <w:pPr>
        <w:widowControl w:val="0"/>
        <w:autoSpaceDE w:val="0"/>
        <w:autoSpaceDN w:val="0"/>
        <w:adjustRightInd w:val="0"/>
        <w:spacing w:after="0" w:line="240" w:lineRule="auto"/>
        <w:ind w:left="720" w:right="576"/>
        <w:rPr>
          <w:rFonts w:ascii="Arial" w:hAnsi="Arial" w:cs="Arial"/>
          <w:sz w:val="18"/>
          <w:szCs w:val="18"/>
        </w:rPr>
      </w:pPr>
      <w:r>
        <w:rPr>
          <w:rFonts w:ascii="Arial" w:hAnsi="Arial" w:cs="Arial"/>
          <w:sz w:val="18"/>
          <w:szCs w:val="18"/>
        </w:rPr>
        <w:t>Journal of Democracy, Vol 18 , No. 1</w:t>
      </w:r>
    </w:p>
  </w:footnote>
  <w:footnote w:id="4">
    <w:p w:rsidR="00515D43" w:rsidRDefault="00515D43">
      <w:pPr>
        <w:widowControl w:val="0"/>
        <w:autoSpaceDE w:val="0"/>
        <w:autoSpaceDN w:val="0"/>
        <w:adjustRightInd w:val="0"/>
        <w:spacing w:after="0" w:line="240" w:lineRule="auto"/>
        <w:ind w:left="720" w:right="576"/>
        <w:rPr>
          <w:rFonts w:ascii="Arial" w:hAnsi="Arial" w:cs="Arial"/>
          <w:sz w:val="18"/>
          <w:szCs w:val="18"/>
        </w:rPr>
      </w:pPr>
      <w:r w:rsidRPr="000E5DFE">
        <w:rPr>
          <w:rStyle w:val="FootnoteReference"/>
        </w:rPr>
        <w:footnoteRef/>
      </w:r>
      <w:r>
        <w:rPr>
          <w:rFonts w:ascii="Times New Roman" w:hAnsi="Times New Roman" w:cs="Times New Roman"/>
          <w:sz w:val="24"/>
          <w:szCs w:val="24"/>
        </w:rPr>
        <w:t xml:space="preserve"> </w:t>
      </w:r>
      <w:r>
        <w:rPr>
          <w:rFonts w:ascii="Arial" w:hAnsi="Arial" w:cs="Arial"/>
          <w:sz w:val="18"/>
          <w:szCs w:val="18"/>
        </w:rPr>
        <w:t>Allen, T. and N. Stremlau (2005). In Hemer, Oscar and Thomas Tufte (Eds.). Media and</w:t>
      </w:r>
    </w:p>
    <w:p w:rsidR="00515D43" w:rsidRDefault="00515D43">
      <w:pPr>
        <w:widowControl w:val="0"/>
        <w:autoSpaceDE w:val="0"/>
        <w:autoSpaceDN w:val="0"/>
        <w:adjustRightInd w:val="0"/>
        <w:spacing w:after="0" w:line="240" w:lineRule="auto"/>
        <w:ind w:left="720" w:right="576"/>
        <w:rPr>
          <w:rFonts w:ascii="Arial" w:hAnsi="Arial" w:cs="Arial"/>
          <w:sz w:val="18"/>
          <w:szCs w:val="18"/>
        </w:rPr>
      </w:pPr>
      <w:r>
        <w:rPr>
          <w:rFonts w:ascii="Arial" w:hAnsi="Arial" w:cs="Arial"/>
          <w:sz w:val="18"/>
          <w:szCs w:val="18"/>
        </w:rPr>
        <w:t>Global Change: Rethinking Communication for Development. Nordicom;  Allen, T. and N. Stremlau (2005) ‘Media Policy, Peace and State Reconstruction’, LSE Crisis States Discussion Paper 8;  Putzel J, (2005) Why Templates for Media Development do not work in Crisis States, LSE CSRC</w:t>
      </w:r>
    </w:p>
  </w:footnote>
  <w:footnote w:id="5">
    <w:p w:rsidR="00515D43" w:rsidRDefault="00515D43">
      <w:pPr>
        <w:widowControl w:val="0"/>
        <w:autoSpaceDE w:val="0"/>
        <w:autoSpaceDN w:val="0"/>
        <w:adjustRightInd w:val="0"/>
        <w:spacing w:after="0" w:line="240" w:lineRule="auto"/>
        <w:ind w:left="720" w:right="576"/>
        <w:rPr>
          <w:rFonts w:ascii="Times New Roman" w:hAnsi="Times New Roman" w:cs="Times New Roman"/>
          <w:sz w:val="24"/>
          <w:szCs w:val="24"/>
        </w:rPr>
      </w:pPr>
      <w:r w:rsidRPr="000E5DFE">
        <w:rPr>
          <w:rStyle w:val="FootnoteReference"/>
        </w:rPr>
        <w:footnoteRef/>
      </w:r>
      <w:r>
        <w:rPr>
          <w:rFonts w:ascii="Times New Roman" w:hAnsi="Times New Roman" w:cs="Times New Roman"/>
          <w:sz w:val="24"/>
          <w:szCs w:val="24"/>
        </w:rPr>
        <w:t xml:space="preserve"> So this writer is a mathematician, is he?</w:t>
      </w:r>
    </w:p>
  </w:footnote>
  <w:footnote w:id="6">
    <w:p w:rsidR="00515D43" w:rsidRDefault="00515D43">
      <w:pPr>
        <w:widowControl w:val="0"/>
        <w:autoSpaceDE w:val="0"/>
        <w:autoSpaceDN w:val="0"/>
        <w:adjustRightInd w:val="0"/>
        <w:spacing w:after="0" w:line="240" w:lineRule="auto"/>
        <w:ind w:left="720" w:right="576"/>
        <w:rPr>
          <w:rFonts w:ascii="Times New Roman" w:hAnsi="Times New Roman" w:cs="Times New Roman"/>
          <w:sz w:val="24"/>
          <w:szCs w:val="24"/>
        </w:rPr>
      </w:pPr>
      <w:r w:rsidRPr="000E5DFE">
        <w:rPr>
          <w:rStyle w:val="FootnoteReference"/>
        </w:rPr>
        <w:footnoteRef/>
      </w:r>
      <w:r>
        <w:rPr>
          <w:rFonts w:ascii="Times New Roman" w:hAnsi="Times New Roman" w:cs="Times New Roman"/>
          <w:sz w:val="24"/>
          <w:szCs w:val="24"/>
        </w:rPr>
        <w:t xml:space="preserve"> </w:t>
      </w:r>
      <w:r>
        <w:rPr>
          <w:rFonts w:ascii="Arial" w:hAnsi="Arial" w:cs="Arial"/>
          <w:sz w:val="20"/>
          <w:szCs w:val="20"/>
        </w:rPr>
        <w:t xml:space="preserve">"Spain," </w:t>
      </w:r>
      <w:r>
        <w:rPr>
          <w:rFonts w:ascii="Arial" w:hAnsi="Arial" w:cs="Arial"/>
          <w:i/>
          <w:iCs/>
          <w:sz w:val="20"/>
          <w:szCs w:val="20"/>
        </w:rPr>
        <w:t xml:space="preserve">Microsoft® Encarta® 96 Encyclopedia. </w:t>
      </w:r>
      <w:r>
        <w:rPr>
          <w:rFonts w:ascii="Arial" w:hAnsi="Arial" w:cs="Arial"/>
          <w:sz w:val="20"/>
          <w:szCs w:val="20"/>
        </w:rPr>
        <w:t>© 1993-1995 Microsoft Corporation. © Funk &amp; Wagnalls Corporation. All rights reserved.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D43" w:rsidRDefault="00515D4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5D43"/>
    <w:rsid w:val="000E5DFE"/>
    <w:rsid w:val="00515D4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0E5DFE"/>
    <w:rPr>
      <w:vertAlign w:val="superscript"/>
    </w:rPr>
  </w:style>
  <w:style w:type="character" w:styleId="FootnoteReference">
    <w:name w:val="footnote reference"/>
    <w:basedOn w:val="DefaultParagraphFont"/>
    <w:uiPriority w:val="99"/>
    <w:semiHidden/>
    <w:unhideWhenUsed/>
    <w:rsid w:val="000E5DFE"/>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4356</Words>
  <Characters>24833</Characters>
  <Application>Microsoft Office Word</Application>
  <DocSecurity>0</DocSecurity>
  <Lines>206</Lines>
  <Paragraphs>58</Paragraphs>
  <ScaleCrop>false</ScaleCrop>
  <Company/>
  <LinksUpToDate>false</LinksUpToDate>
  <CharactersWithSpaces>29131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2016-07-08T22:52:00Z</dcterms:created>
  <dcterms:modified xsi:type="dcterms:W3CDTF">2016-07-08T22:52:00Z</dcterms:modified>
</cp:coreProperties>
</file>